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3502" w14:textId="77777777" w:rsidR="00BA05C0" w:rsidRPr="000E4A73" w:rsidRDefault="00BA05C0">
      <w:pPr>
        <w:rPr>
          <w:b/>
          <w:sz w:val="32"/>
          <w:szCs w:val="32"/>
        </w:rPr>
      </w:pPr>
      <w:r w:rsidRPr="000E4A73">
        <w:rPr>
          <w:b/>
          <w:sz w:val="32"/>
          <w:szCs w:val="32"/>
        </w:rPr>
        <w:t>Nowe standardy w rachunkowości funduszów inwestycyjnych</w:t>
      </w:r>
    </w:p>
    <w:p w14:paraId="62C289D7" w14:textId="77777777" w:rsidR="00DC7F00" w:rsidRDefault="00DC7F00" w:rsidP="00DC7F00">
      <w:pPr>
        <w:jc w:val="both"/>
        <w:rPr>
          <w:i/>
          <w:iCs/>
        </w:rPr>
      </w:pPr>
      <w:r>
        <w:rPr>
          <w:i/>
          <w:iCs/>
        </w:rPr>
        <w:t>Autor: Benedykt Wiśniewski, Partner Zarządzający, Członek Zarządu MGW CCG</w:t>
      </w:r>
    </w:p>
    <w:p w14:paraId="6FD062B1" w14:textId="5787FA0D" w:rsidR="00BA05C0" w:rsidRDefault="00BA05C0"/>
    <w:p w14:paraId="1690BB1D" w14:textId="77777777" w:rsidR="00DC7F00" w:rsidRPr="000E4A73" w:rsidRDefault="00DC7F00"/>
    <w:p w14:paraId="28671FC1" w14:textId="0E9901D9" w:rsidR="00A66309" w:rsidRPr="000E4A73" w:rsidRDefault="00D466C0" w:rsidP="009E3821">
      <w:pPr>
        <w:jc w:val="both"/>
      </w:pPr>
      <w:r w:rsidRPr="000E4A73">
        <w:t>Minister Finansów</w:t>
      </w:r>
      <w:r w:rsidR="006455CD" w:rsidRPr="000E4A73">
        <w:t xml:space="preserve"> Funduszy i Polityki Regionalnej </w:t>
      </w:r>
      <w:r w:rsidR="004A1724" w:rsidRPr="000E4A73">
        <w:t>w dniu</w:t>
      </w:r>
      <w:r w:rsidR="002F4C88">
        <w:t xml:space="preserve"> </w:t>
      </w:r>
      <w:r w:rsidR="004A1724" w:rsidRPr="000E4A73">
        <w:t xml:space="preserve">31.12.2020 roku </w:t>
      </w:r>
      <w:r w:rsidR="006455CD" w:rsidRPr="000E4A73">
        <w:t>ogłosił w Dzienniku Ustaw</w:t>
      </w:r>
      <w:r w:rsidR="002F4C88">
        <w:t xml:space="preserve"> </w:t>
      </w:r>
      <w:r w:rsidR="006455CD" w:rsidRPr="000E4A73">
        <w:t xml:space="preserve">Poz. 2436 </w:t>
      </w:r>
      <w:r w:rsidR="00BA05C0" w:rsidRPr="000E4A73">
        <w:t>,</w:t>
      </w:r>
      <w:r w:rsidR="009F5726" w:rsidRPr="000E4A73">
        <w:t xml:space="preserve"> </w:t>
      </w:r>
      <w:r w:rsidRPr="000E4A73">
        <w:t xml:space="preserve">rozporządzenie zmieniające </w:t>
      </w:r>
      <w:r w:rsidR="00A109E4" w:rsidRPr="000E4A73">
        <w:t xml:space="preserve">między innymi </w:t>
      </w:r>
      <w:r w:rsidRPr="000E4A73">
        <w:t>zasady wyceny instrumentów finansowych</w:t>
      </w:r>
      <w:r w:rsidR="00BA05C0" w:rsidRPr="000E4A73">
        <w:t xml:space="preserve"> przez fundusze inwestycyjne</w:t>
      </w:r>
      <w:r w:rsidR="004A1724" w:rsidRPr="000E4A73">
        <w:t>,</w:t>
      </w:r>
      <w:r w:rsidR="00A430AB" w:rsidRPr="000E4A73">
        <w:t xml:space="preserve"> które weszło w życie z dniem 1 stycznia 2021 roku</w:t>
      </w:r>
      <w:r w:rsidRPr="000E4A73">
        <w:t xml:space="preserve">. Wprowadza ono </w:t>
      </w:r>
      <w:r w:rsidR="003C129A" w:rsidRPr="000E4A73">
        <w:t>sposób dokonywania wycen</w:t>
      </w:r>
      <w:r w:rsidR="002F4C88">
        <w:t xml:space="preserve"> </w:t>
      </w:r>
      <w:r w:rsidR="003C129A" w:rsidRPr="000E4A73">
        <w:t xml:space="preserve">zbieżny z </w:t>
      </w:r>
      <w:r w:rsidRPr="000E4A73">
        <w:t>obowiązując</w:t>
      </w:r>
      <w:r w:rsidR="003C129A" w:rsidRPr="000E4A73">
        <w:t>ym</w:t>
      </w:r>
      <w:r w:rsidRPr="000E4A73">
        <w:t xml:space="preserve"> w Międzynarodowych Standardach Rachunkowości</w:t>
      </w:r>
      <w:r w:rsidR="00A865DE" w:rsidRPr="000E4A73">
        <w:t xml:space="preserve"> (MSR/MSSF)</w:t>
      </w:r>
      <w:r w:rsidRPr="000E4A73">
        <w:t xml:space="preserve">. Najważniejszą zmianą </w:t>
      </w:r>
      <w:r w:rsidR="00A109E4" w:rsidRPr="000E4A73">
        <w:t xml:space="preserve">pod kątem wyceny aktywów </w:t>
      </w:r>
      <w:r w:rsidRPr="000E4A73">
        <w:t xml:space="preserve">jest </w:t>
      </w:r>
      <w:r w:rsidR="007C24FC" w:rsidRPr="000E4A73">
        <w:t>zmiana</w:t>
      </w:r>
      <w:r w:rsidR="002F4C88">
        <w:t xml:space="preserve"> </w:t>
      </w:r>
      <w:r w:rsidR="007C24FC" w:rsidRPr="000E4A73">
        <w:t xml:space="preserve">sposobu wyznaczania </w:t>
      </w:r>
      <w:r w:rsidR="003C129A" w:rsidRPr="000E4A73">
        <w:t>wartości</w:t>
      </w:r>
      <w:r w:rsidR="002F4C88">
        <w:t xml:space="preserve"> </w:t>
      </w:r>
      <w:r w:rsidRPr="000E4A73">
        <w:t>godziwej</w:t>
      </w:r>
      <w:r w:rsidR="003C129A" w:rsidRPr="000E4A73">
        <w:t>, zmiana definicji aktywnego rynku oraz ograniczenie zastosowania metody skorygowanej ceny nabycia</w:t>
      </w:r>
      <w:r w:rsidRPr="000E4A73">
        <w:t>.</w:t>
      </w:r>
    </w:p>
    <w:p w14:paraId="173A07E8" w14:textId="77777777" w:rsidR="009E3821" w:rsidRPr="000E4A73" w:rsidRDefault="009E3821" w:rsidP="009E3821">
      <w:pPr>
        <w:jc w:val="both"/>
      </w:pPr>
    </w:p>
    <w:p w14:paraId="284E0C20" w14:textId="4001F96F" w:rsidR="009E3821" w:rsidRPr="000E4A73" w:rsidRDefault="009E3821" w:rsidP="009E3821">
      <w:pPr>
        <w:jc w:val="both"/>
      </w:pPr>
      <w:r w:rsidRPr="000E4A73">
        <w:t xml:space="preserve">Do tej pory fundusze najczęściej wyceniały swoje aktywa </w:t>
      </w:r>
      <w:r w:rsidR="00A865DE" w:rsidRPr="000E4A73">
        <w:t xml:space="preserve">dłużne </w:t>
      </w:r>
      <w:r w:rsidR="00857F74" w:rsidRPr="000E4A73">
        <w:t>(obligacje</w:t>
      </w:r>
      <w:r w:rsidR="00487061" w:rsidRPr="000E4A73">
        <w:t xml:space="preserve"> oraz pożycz</w:t>
      </w:r>
      <w:r w:rsidR="00FE61A0" w:rsidRPr="000E4A73">
        <w:t>ki</w:t>
      </w:r>
      <w:r w:rsidR="00857F74" w:rsidRPr="000E4A73">
        <w:t xml:space="preserve">) </w:t>
      </w:r>
      <w:r w:rsidRPr="000E4A73">
        <w:t xml:space="preserve">metodą skorygowanej ceny nabycia, która z założenia nie uwzględnia </w:t>
      </w:r>
      <w:r w:rsidR="00487061" w:rsidRPr="000E4A73">
        <w:t xml:space="preserve">zmiany </w:t>
      </w:r>
      <w:r w:rsidRPr="000E4A73">
        <w:t>ryzyka niewypłacalności emitenta</w:t>
      </w:r>
      <w:r w:rsidR="00487061" w:rsidRPr="000E4A73">
        <w:t xml:space="preserve"> w trakcie </w:t>
      </w:r>
      <w:r w:rsidR="00A109E4" w:rsidRPr="000E4A73">
        <w:t>czasu</w:t>
      </w:r>
      <w:r w:rsidR="00487061" w:rsidRPr="000E4A73">
        <w:t xml:space="preserve"> trwania instrumentu</w:t>
      </w:r>
      <w:r w:rsidRPr="000E4A73">
        <w:t xml:space="preserve">. W ostatnim czasie problem nabrał na aktualności w związku z licznymi przypadkami </w:t>
      </w:r>
      <w:proofErr w:type="spellStart"/>
      <w:r w:rsidRPr="000E4A73">
        <w:t>defaultów</w:t>
      </w:r>
      <w:proofErr w:type="spellEnd"/>
      <w:r w:rsidRPr="000E4A73">
        <w:t xml:space="preserve"> na rynku obligacji korporacyjnych</w:t>
      </w:r>
      <w:r w:rsidR="00487061" w:rsidRPr="000E4A73">
        <w:t xml:space="preserve"> i rożnych pode</w:t>
      </w:r>
      <w:r w:rsidR="000E4A73" w:rsidRPr="000E4A73">
        <w:t>j</w:t>
      </w:r>
      <w:r w:rsidR="00487061" w:rsidRPr="000E4A73">
        <w:t>ść do odpisów stosowanych przez poszczególne Fundusze Inwestycyjne.</w:t>
      </w:r>
    </w:p>
    <w:p w14:paraId="5533EDFB" w14:textId="77777777" w:rsidR="00C311C8" w:rsidRPr="000E4A73" w:rsidRDefault="00C311C8" w:rsidP="009E3821">
      <w:pPr>
        <w:jc w:val="both"/>
      </w:pPr>
    </w:p>
    <w:p w14:paraId="443DA587" w14:textId="355751E6" w:rsidR="00C311C8" w:rsidRPr="000E4A73" w:rsidRDefault="00C311C8" w:rsidP="009E3821">
      <w:pPr>
        <w:jc w:val="both"/>
      </w:pPr>
      <w:r w:rsidRPr="000E4A73">
        <w:t>Według Ustawy o rachunkowości, za wartość godziwą przyjmuje się kwotę, za jaką dany składnik aktywów mógłby zostać wymieniony, a zobowiązanie uregulowane na warunkach transakcji rynkowej, pomiędzy zainteresowanymi, dobrze poinformowanymi i</w:t>
      </w:r>
      <w:r w:rsidR="00FE61A0" w:rsidRPr="000E4A73">
        <w:t> </w:t>
      </w:r>
      <w:r w:rsidRPr="000E4A73">
        <w:t>niepowiązanymi ze sobą stronami. Oznacza</w:t>
      </w:r>
      <w:r w:rsidR="004445FF" w:rsidRPr="000E4A73">
        <w:t xml:space="preserve"> to</w:t>
      </w:r>
      <w:r w:rsidRPr="000E4A73">
        <w:t xml:space="preserve">, że z punktu widzenia </w:t>
      </w:r>
      <w:r w:rsidR="00241B3B" w:rsidRPr="000E4A73">
        <w:t>zarządzającego</w:t>
      </w:r>
      <w:r w:rsidRPr="000E4A73">
        <w:t xml:space="preserve">, najbardziej pożądana jest sytuacja, gdy instrument </w:t>
      </w:r>
      <w:r w:rsidR="000E4A73" w:rsidRPr="000E4A73">
        <w:t xml:space="preserve">(np. obligacja) </w:t>
      </w:r>
      <w:r w:rsidRPr="000E4A73">
        <w:t>jest notowany na aktywnym rynku</w:t>
      </w:r>
      <w:r w:rsidR="00241B3B" w:rsidRPr="000E4A73">
        <w:t xml:space="preserve">, choć z uwagi na jego </w:t>
      </w:r>
      <w:r w:rsidR="00A109E4" w:rsidRPr="000E4A73">
        <w:t>płynność</w:t>
      </w:r>
      <w:r w:rsidR="002F4C88">
        <w:t xml:space="preserve"> </w:t>
      </w:r>
      <w:r w:rsidR="00487061" w:rsidRPr="000E4A73">
        <w:t xml:space="preserve">w Polsce </w:t>
      </w:r>
      <w:r w:rsidR="00241B3B" w:rsidRPr="000E4A73">
        <w:t xml:space="preserve">dotyczy niewielkiej </w:t>
      </w:r>
      <w:r w:rsidR="002F059C" w:rsidRPr="000E4A73">
        <w:t>liczby</w:t>
      </w:r>
      <w:r w:rsidR="00241B3B" w:rsidRPr="000E4A73">
        <w:t xml:space="preserve"> aktywów</w:t>
      </w:r>
      <w:r w:rsidRPr="000E4A73">
        <w:t xml:space="preserve">. </w:t>
      </w:r>
    </w:p>
    <w:p w14:paraId="0C0402BD" w14:textId="77777777" w:rsidR="00C311C8" w:rsidRPr="000E4A73" w:rsidRDefault="00C311C8" w:rsidP="00C311C8"/>
    <w:p w14:paraId="10E9C635" w14:textId="299E246E" w:rsidR="00C311C8" w:rsidRPr="000E4A73" w:rsidRDefault="002F4C88" w:rsidP="009E3821">
      <w:pPr>
        <w:jc w:val="both"/>
      </w:pPr>
      <w:r>
        <w:t xml:space="preserve">Zgodnie ze starą </w:t>
      </w:r>
      <w:r w:rsidR="00C311C8" w:rsidRPr="000E4A73">
        <w:t>definicj</w:t>
      </w:r>
      <w:r>
        <w:t>ą</w:t>
      </w:r>
      <w:r w:rsidR="00C311C8" w:rsidRPr="000E4A73">
        <w:t xml:space="preserve"> aktywny rynek powinien spełniać następujące kryteria: instrumenty będące przedmiotem obrotu powinny być jednorodne, w każdym czasie powinni występować zainteresowani nabywcy i sprzedawcy</w:t>
      </w:r>
      <w:r w:rsidR="000E4A73" w:rsidRPr="000E4A73">
        <w:t>,</w:t>
      </w:r>
      <w:r w:rsidR="00C311C8" w:rsidRPr="000E4A73">
        <w:t xml:space="preserve"> a ceny powinny być podawane do publicznej wiadomości. Według nowej, </w:t>
      </w:r>
      <w:r w:rsidR="00857F74" w:rsidRPr="000E4A73">
        <w:t xml:space="preserve">aktualnej </w:t>
      </w:r>
      <w:r w:rsidR="00C311C8" w:rsidRPr="000E4A73">
        <w:t>definicji, aktywny rynek, to rynek, na którym transakcje dotyczące danego składnika aktywów lub zobowiązania odbywają się z dostateczną częstotliwością i mają dostateczny wolumen, aby dostarczać bieżących informacji na temat cen tego składnika aktywów lub zobowiązania. Inaczej mówiąc, cena instrumentu finansowego ukształtowana w obrocie rynkowym powinna być uznana</w:t>
      </w:r>
      <w:r w:rsidR="009E3821" w:rsidRPr="000E4A73">
        <w:t xml:space="preserve"> za godziwą</w:t>
      </w:r>
      <w:r w:rsidR="00C311C8" w:rsidRPr="000E4A73">
        <w:t xml:space="preserve"> wyłącznie w sytuacji, w której jest to uzasadnione przez częstotliwość i wolumen obrotu.</w:t>
      </w:r>
    </w:p>
    <w:p w14:paraId="7365A5E9" w14:textId="77777777" w:rsidR="00C311C8" w:rsidRPr="000E4A73" w:rsidRDefault="00C311C8"/>
    <w:p w14:paraId="1D9AC080" w14:textId="72B91738" w:rsidR="00BA05C0" w:rsidRPr="000E4A73" w:rsidRDefault="00C311C8" w:rsidP="009E3821">
      <w:pPr>
        <w:jc w:val="both"/>
      </w:pPr>
      <w:r w:rsidRPr="000E4A73">
        <w:t>Problem polega na tym, że</w:t>
      </w:r>
      <w:r w:rsidR="009E3821" w:rsidRPr="000E4A73">
        <w:t xml:space="preserve"> trzeba wziąć pod uwagę sytuacj</w:t>
      </w:r>
      <w:r w:rsidR="000E4A73" w:rsidRPr="000E4A73">
        <w:t>ę</w:t>
      </w:r>
      <w:r w:rsidR="009E3821" w:rsidRPr="000E4A73">
        <w:t>, gdy wyceniane</w:t>
      </w:r>
      <w:r w:rsidRPr="000E4A73">
        <w:t xml:space="preserve"> instrumenty finansowe</w:t>
      </w:r>
      <w:r w:rsidR="009E3821" w:rsidRPr="000E4A73">
        <w:t xml:space="preserve"> lub zobowiązania nie</w:t>
      </w:r>
      <w:r w:rsidRPr="000E4A73">
        <w:t xml:space="preserve"> są notowane na aktywnych rynkach</w:t>
      </w:r>
      <w:r w:rsidR="00F92A5F" w:rsidRPr="000E4A73">
        <w:t xml:space="preserve"> lub aktywa nie są wystarczająco płynne</w:t>
      </w:r>
      <w:r w:rsidRPr="000E4A73">
        <w:t>.</w:t>
      </w:r>
      <w:r w:rsidR="009E3821" w:rsidRPr="000E4A73">
        <w:t xml:space="preserve"> Dlatego w</w:t>
      </w:r>
      <w:r w:rsidR="008A6983" w:rsidRPr="000E4A73">
        <w:t xml:space="preserve">edług nowych przepisów za wartość godziwą </w:t>
      </w:r>
      <w:r w:rsidR="009E3821" w:rsidRPr="000E4A73">
        <w:t xml:space="preserve">można </w:t>
      </w:r>
      <w:r w:rsidR="008A6983" w:rsidRPr="000E4A73">
        <w:t>uzna</w:t>
      </w:r>
      <w:r w:rsidR="009E3821" w:rsidRPr="000E4A73">
        <w:t>ć</w:t>
      </w:r>
      <w:r w:rsidR="008A6983" w:rsidRPr="000E4A73">
        <w:t>:</w:t>
      </w:r>
      <w:r w:rsidR="00BA05C0" w:rsidRPr="000E4A73">
        <w:t xml:space="preserve"> </w:t>
      </w:r>
    </w:p>
    <w:p w14:paraId="54D7B4DB" w14:textId="77777777" w:rsidR="00BA05C0" w:rsidRPr="000E4A73" w:rsidRDefault="008A6983" w:rsidP="009E3821">
      <w:pPr>
        <w:pStyle w:val="Akapitzlist"/>
        <w:numPr>
          <w:ilvl w:val="0"/>
          <w:numId w:val="1"/>
        </w:numPr>
        <w:jc w:val="both"/>
      </w:pPr>
      <w:r w:rsidRPr="000E4A73">
        <w:t>cenę z aktywnego rynku</w:t>
      </w:r>
      <w:r w:rsidR="00BA05C0" w:rsidRPr="000E4A73">
        <w:t xml:space="preserve">; </w:t>
      </w:r>
    </w:p>
    <w:p w14:paraId="724224E6" w14:textId="77777777" w:rsidR="00BA05C0" w:rsidRPr="000E4A73" w:rsidRDefault="008A6983" w:rsidP="009E3821">
      <w:pPr>
        <w:pStyle w:val="Akapitzlist"/>
        <w:numPr>
          <w:ilvl w:val="0"/>
          <w:numId w:val="1"/>
        </w:numPr>
        <w:jc w:val="both"/>
      </w:pPr>
      <w:r w:rsidRPr="000E4A73">
        <w:t xml:space="preserve">w przypadku jej braku, cenę otrzymaną przy zastosowaniu modelu wyceny, gdzie wszystkie znaczące dane wejściowe są obserwowalne w sposób bezpośredni lub </w:t>
      </w:r>
      <w:r w:rsidR="008F2F58" w:rsidRPr="000E4A73">
        <w:t>pośredni;</w:t>
      </w:r>
    </w:p>
    <w:p w14:paraId="6E8E889C" w14:textId="77777777" w:rsidR="008F2F58" w:rsidRPr="000E4A73" w:rsidRDefault="008F2F58" w:rsidP="009E3821">
      <w:pPr>
        <w:pStyle w:val="Akapitzlist"/>
        <w:numPr>
          <w:ilvl w:val="0"/>
          <w:numId w:val="1"/>
        </w:numPr>
        <w:jc w:val="both"/>
      </w:pPr>
      <w:r w:rsidRPr="000E4A73">
        <w:t>w przypadku ich braku – wartość ustaloną za pomocą modeli wyceny opartych o dane</w:t>
      </w:r>
      <w:r w:rsidR="00B81576" w:rsidRPr="000E4A73">
        <w:t xml:space="preserve"> nieobserwowalne, w</w:t>
      </w:r>
      <w:r w:rsidRPr="000E4A73">
        <w:t xml:space="preserve"> takim przypadku w maksymalnym zakresie należy wykorzystywać dane obserwowalne a w minimalnym zakresie dane nieobserwowalne. </w:t>
      </w:r>
    </w:p>
    <w:p w14:paraId="6D1BA8A7" w14:textId="77777777" w:rsidR="008F2F58" w:rsidRPr="000E4A73" w:rsidRDefault="008F2F58"/>
    <w:p w14:paraId="592202BB" w14:textId="27597956" w:rsidR="008F2F58" w:rsidRPr="000E4A73" w:rsidRDefault="008F2F58" w:rsidP="009E3821">
      <w:pPr>
        <w:jc w:val="both"/>
      </w:pPr>
      <w:r w:rsidRPr="000E4A73">
        <w:lastRenderedPageBreak/>
        <w:t xml:space="preserve">Wycena na podstawie danych obserwowalnych uwzględnia między innymi: ceny podobnych aktywów lub zobowiązań pochodzących z rynku, który w rozumieniu przepisów jest aktywny, ceny identycznych lub podobnych aktywów z rynku, który nie jest aktywny, </w:t>
      </w:r>
      <w:r w:rsidR="00A109E4" w:rsidRPr="000E4A73">
        <w:t xml:space="preserve">dane wejściowe do modelu, w szczególności: </w:t>
      </w:r>
      <w:r w:rsidRPr="000E4A73">
        <w:t xml:space="preserve">stopy procentowe i krzywe dochodowości obserwowalne we wspólnie notowanych przedziałach, zakładaną zmienność czy </w:t>
      </w:r>
      <w:proofErr w:type="spellStart"/>
      <w:r w:rsidRPr="000E4A73">
        <w:t>spread</w:t>
      </w:r>
      <w:proofErr w:type="spellEnd"/>
      <w:r w:rsidRPr="000E4A73">
        <w:t xml:space="preserve"> kredytowy.</w:t>
      </w:r>
    </w:p>
    <w:p w14:paraId="08CFA7B7" w14:textId="77777777" w:rsidR="008F2F58" w:rsidRPr="000E4A73" w:rsidRDefault="008F2F58"/>
    <w:p w14:paraId="2161BA8D" w14:textId="5CE0BC84" w:rsidR="009B0C58" w:rsidRPr="000E4A73" w:rsidRDefault="008F2F58">
      <w:r w:rsidRPr="000E4A73">
        <w:t>Z kolei dane nieobserwowalne</w:t>
      </w:r>
      <w:r w:rsidR="00FD4C5E" w:rsidRPr="000E4A73">
        <w:t xml:space="preserve"> to wszystkie inne dane wejściowe opracowane przy użyciu wiarygodnych informacji dostępnych w danych okolicznościach</w:t>
      </w:r>
      <w:r w:rsidR="000C7CA8" w:rsidRPr="000E4A73">
        <w:t>, które spełniają cel wyceny wartości godziwej</w:t>
      </w:r>
      <w:r w:rsidR="00E54E5E" w:rsidRPr="000E4A73">
        <w:t xml:space="preserve"> (np. sprawozdania finansowe, dane księgowe)</w:t>
      </w:r>
      <w:r w:rsidR="00FD4C5E" w:rsidRPr="000E4A73">
        <w:t>.</w:t>
      </w:r>
      <w:r w:rsidR="002F4C88">
        <w:t xml:space="preserve"> </w:t>
      </w:r>
    </w:p>
    <w:p w14:paraId="3D3E6700" w14:textId="77777777" w:rsidR="008A6983" w:rsidRPr="000E4A73" w:rsidRDefault="008A6983"/>
    <w:p w14:paraId="1E02322F" w14:textId="6CAC2E11" w:rsidR="008A6983" w:rsidRPr="000E4A73" w:rsidRDefault="008A6983" w:rsidP="00EC5304">
      <w:pPr>
        <w:jc w:val="both"/>
      </w:pPr>
      <w:r w:rsidRPr="000E4A73">
        <w:t>Wycena metodą skorygowanej ceny nabycia będzie cały czas dopuszczalna w przypadku aktywów i zobowiązań, których pierwotny termin zapadalności nie przekracza 92 dni i termin ten nie ulegał wydłużeniu</w:t>
      </w:r>
      <w:r w:rsidR="00EC5304" w:rsidRPr="000E4A73">
        <w:t>.</w:t>
      </w:r>
      <w:r w:rsidRPr="000E4A73">
        <w:t xml:space="preserve"> </w:t>
      </w:r>
      <w:r w:rsidR="00857F74" w:rsidRPr="000E4A73">
        <w:t>Powyższe nie dotyczy</w:t>
      </w:r>
      <w:r w:rsidR="00EC5304" w:rsidRPr="000E4A73">
        <w:t xml:space="preserve"> sytuacji</w:t>
      </w:r>
      <w:r w:rsidR="00857F74" w:rsidRPr="000E4A73">
        <w:t>, gdy</w:t>
      </w:r>
      <w:r w:rsidR="00EC5304" w:rsidRPr="000E4A73">
        <w:t xml:space="preserve"> a</w:t>
      </w:r>
      <w:r w:rsidRPr="000E4A73">
        <w:t>ktyw</w:t>
      </w:r>
      <w:r w:rsidR="00EC5304" w:rsidRPr="000E4A73">
        <w:t>a</w:t>
      </w:r>
      <w:r w:rsidRPr="000E4A73">
        <w:t xml:space="preserve"> </w:t>
      </w:r>
      <w:r w:rsidR="00EC5304" w:rsidRPr="000E4A73">
        <w:t>podlega</w:t>
      </w:r>
      <w:r w:rsidR="00857F74" w:rsidRPr="000E4A73">
        <w:t>ją</w:t>
      </w:r>
      <w:r w:rsidR="00EC5304" w:rsidRPr="000E4A73">
        <w:t xml:space="preserve"> </w:t>
      </w:r>
      <w:r w:rsidRPr="000E4A73">
        <w:t>operacjom objęcia papierów wartościowych kolejnej emisji powiązanych z umorzeniem posiadanych przez fundusz papierów wcześniejszej emisji.</w:t>
      </w:r>
      <w:r w:rsidR="002F4C88">
        <w:t xml:space="preserve"> </w:t>
      </w:r>
    </w:p>
    <w:p w14:paraId="554BFDFA" w14:textId="77777777" w:rsidR="00FD4C5E" w:rsidRPr="000E4A73" w:rsidRDefault="00FD4C5E" w:rsidP="00EC5304">
      <w:pPr>
        <w:jc w:val="both"/>
      </w:pPr>
    </w:p>
    <w:p w14:paraId="5F5B55E8" w14:textId="33A27CA2" w:rsidR="00EE5620" w:rsidRPr="000E4A73" w:rsidRDefault="00C0077C" w:rsidP="00EC5304">
      <w:pPr>
        <w:jc w:val="both"/>
      </w:pPr>
      <w:r w:rsidRPr="000E4A73">
        <w:t>Rozporządzenie wskazuje, iż f</w:t>
      </w:r>
      <w:r w:rsidR="00FD4C5E" w:rsidRPr="000E4A73">
        <w:t>undusz inwestycyjny jest zobowiązany zawrzeć</w:t>
      </w:r>
      <w:r w:rsidR="00EC5304" w:rsidRPr="000E4A73">
        <w:t xml:space="preserve"> stosowane metody wyceny</w:t>
      </w:r>
      <w:r w:rsidR="00FD4C5E" w:rsidRPr="000E4A73">
        <w:t xml:space="preserve"> w dokumentacji, o której mowa w art. 10 </w:t>
      </w:r>
      <w:r w:rsidR="0099734C" w:rsidRPr="000E4A73">
        <w:t>u</w:t>
      </w:r>
      <w:r w:rsidR="00FD4C5E" w:rsidRPr="000E4A73">
        <w:t>stawy o rachunkowości. Dotyczy to między innymi</w:t>
      </w:r>
      <w:r w:rsidR="00EC5304" w:rsidRPr="000E4A73">
        <w:t>:</w:t>
      </w:r>
      <w:r w:rsidR="00FD4C5E" w:rsidRPr="000E4A73">
        <w:t xml:space="preserve"> metod wycen stosowanych przy każdym rodzaju aktywów, modeli wyceny</w:t>
      </w:r>
      <w:r w:rsidR="00EC5304" w:rsidRPr="000E4A73">
        <w:t xml:space="preserve"> i</w:t>
      </w:r>
      <w:r w:rsidR="00FD4C5E" w:rsidRPr="000E4A73">
        <w:t xml:space="preserve"> ich głównych cech, powodów wyboru i uzasadnienia ich stosowania, częstotliwości dokonywania przeglądu poszczególnych wycen aktywów niebędących przedmiotem obrotu na aktywnym rynku i częstotliwości i zasad przeglądu danych wejściowych wykorzystywanych w modelach.</w:t>
      </w:r>
      <w:r w:rsidR="00EC5304" w:rsidRPr="000E4A73">
        <w:t xml:space="preserve"> </w:t>
      </w:r>
      <w:r w:rsidR="00FD4C5E" w:rsidRPr="000E4A73">
        <w:t>Opis technik wyceny oraz zakres stosowanych danych obserwowalnych i nieobserwowalnych muszą być ujawnione w informacji dodatkowej do sprawozdania finansowego</w:t>
      </w:r>
      <w:r w:rsidR="00EE5620" w:rsidRPr="000E4A73">
        <w:t xml:space="preserve">. </w:t>
      </w:r>
    </w:p>
    <w:p w14:paraId="4DFB894F" w14:textId="77777777" w:rsidR="00EE5620" w:rsidRPr="000E4A73" w:rsidRDefault="00EE5620"/>
    <w:p w14:paraId="45CF8858" w14:textId="1D6F27D6" w:rsidR="00EE5620" w:rsidRPr="000E4A73" w:rsidRDefault="00EC5304" w:rsidP="00EC5304">
      <w:pPr>
        <w:jc w:val="both"/>
      </w:pPr>
      <w:r w:rsidRPr="000E4A73">
        <w:t>Omawiane p</w:t>
      </w:r>
      <w:r w:rsidR="00EE5620" w:rsidRPr="000E4A73">
        <w:t>rzepisy będą mieć zastosowanie po raz pierwszy do sprawozdań finansowych sporządzanych za rok obrotowy rozpoczynający się po 31 grudnia 2020 roku</w:t>
      </w:r>
      <w:r w:rsidR="00365304" w:rsidRPr="000E4A73">
        <w:t>, oznacza to w praktyce, że pierwsze wyceny pojawią się w sprawozdaniach za I półrocze 2021 roku</w:t>
      </w:r>
      <w:r w:rsidR="00EE5620" w:rsidRPr="000E4A73">
        <w:t xml:space="preserve">. </w:t>
      </w:r>
    </w:p>
    <w:p w14:paraId="45AE8058" w14:textId="77777777" w:rsidR="00EE5620" w:rsidRPr="000E4A73" w:rsidRDefault="00EE5620" w:rsidP="00EC5304">
      <w:pPr>
        <w:jc w:val="both"/>
      </w:pPr>
    </w:p>
    <w:p w14:paraId="527E8AC8" w14:textId="0FC2B22D" w:rsidR="00EE5620" w:rsidRPr="000E4A73" w:rsidRDefault="00EE5620" w:rsidP="00EC5304">
      <w:pPr>
        <w:jc w:val="both"/>
      </w:pPr>
      <w:r w:rsidRPr="000E4A73">
        <w:t>W praktyce</w:t>
      </w:r>
      <w:r w:rsidR="002F4C88">
        <w:t xml:space="preserve"> </w:t>
      </w:r>
      <w:r w:rsidRPr="000E4A73">
        <w:t>nowe przepisy oznaczają, że do wyceny instrumentów finansowych</w:t>
      </w:r>
      <w:r w:rsidR="002F4C88">
        <w:t xml:space="preserve"> </w:t>
      </w:r>
      <w:r w:rsidR="00830B6D" w:rsidRPr="000E4A73">
        <w:t xml:space="preserve">(głównie obligacji, ale i akcji, pakietów wierzytelności czy pożyczek) </w:t>
      </w:r>
      <w:r w:rsidRPr="000E4A73">
        <w:t xml:space="preserve">należy podejść według określonej hierarchii. </w:t>
      </w:r>
    </w:p>
    <w:p w14:paraId="5B9EFA30" w14:textId="77777777" w:rsidR="00EE5620" w:rsidRPr="000E4A73" w:rsidRDefault="00EE5620" w:rsidP="00EC5304">
      <w:pPr>
        <w:jc w:val="both"/>
      </w:pPr>
    </w:p>
    <w:p w14:paraId="7CF0F3FA" w14:textId="75F722A3" w:rsidR="00016556" w:rsidRPr="000E4A73" w:rsidRDefault="00EE5620" w:rsidP="00EC5304">
      <w:pPr>
        <w:jc w:val="both"/>
      </w:pPr>
      <w:r w:rsidRPr="000E4A73">
        <w:rPr>
          <w:b/>
          <w:bCs/>
        </w:rPr>
        <w:t>Na poziomie pierwszym</w:t>
      </w:r>
      <w:r w:rsidRPr="000E4A73">
        <w:t xml:space="preserve"> </w:t>
      </w:r>
      <w:r w:rsidR="00C63C3B" w:rsidRPr="000E4A73">
        <w:t xml:space="preserve">hierarchii wartości </w:t>
      </w:r>
      <w:r w:rsidRPr="000E4A73">
        <w:t xml:space="preserve">– </w:t>
      </w:r>
      <w:r w:rsidR="00F70AB7" w:rsidRPr="000E4A73">
        <w:t>wyceniane są</w:t>
      </w:r>
      <w:r w:rsidR="002F4C88">
        <w:t xml:space="preserve"> </w:t>
      </w:r>
      <w:r w:rsidR="00F70AB7" w:rsidRPr="000E4A73">
        <w:t xml:space="preserve">płynne akcje i obligacje na podstawie notowań rynkowych, pobieranych </w:t>
      </w:r>
      <w:r w:rsidRPr="000E4A73">
        <w:t>z aktywnego rynku</w:t>
      </w:r>
      <w:r w:rsidR="000E4A73" w:rsidRPr="000E4A73">
        <w:t>.</w:t>
      </w:r>
      <w:r w:rsidRPr="000E4A73">
        <w:t xml:space="preserve"> </w:t>
      </w:r>
    </w:p>
    <w:p w14:paraId="42CCB747" w14:textId="77777777" w:rsidR="00016556" w:rsidRPr="000E4A73" w:rsidRDefault="00016556" w:rsidP="00EC5304">
      <w:pPr>
        <w:jc w:val="both"/>
      </w:pPr>
    </w:p>
    <w:p w14:paraId="42A00991" w14:textId="7740A785" w:rsidR="00016556" w:rsidRPr="000E4A73" w:rsidRDefault="00EE5620" w:rsidP="00EC5304">
      <w:pPr>
        <w:jc w:val="both"/>
      </w:pPr>
      <w:r w:rsidRPr="000E4A73">
        <w:rPr>
          <w:b/>
          <w:bCs/>
        </w:rPr>
        <w:t>Na poziomie drugim</w:t>
      </w:r>
      <w:r w:rsidR="00016556" w:rsidRPr="000E4A73">
        <w:t xml:space="preserve">, </w:t>
      </w:r>
      <w:r w:rsidR="00C63C3B" w:rsidRPr="000E4A73">
        <w:t>w naszej ocenie</w:t>
      </w:r>
      <w:r w:rsidR="000E4A73" w:rsidRPr="000E4A73">
        <w:t>,</w:t>
      </w:r>
      <w:r w:rsidR="00C63C3B" w:rsidRPr="000E4A73">
        <w:t xml:space="preserve"> należy podzielić emitentów na posiadających rating i</w:t>
      </w:r>
      <w:r w:rsidR="002F4C88">
        <w:t xml:space="preserve"> </w:t>
      </w:r>
      <w:r w:rsidR="00C63C3B" w:rsidRPr="000E4A73">
        <w:t xml:space="preserve">tych którzy ratingu nadanego przez uznane agencje ratingowe nie posiadają. </w:t>
      </w:r>
      <w:r w:rsidR="00992D3D" w:rsidRPr="000E4A73">
        <w:t>W przypadku Spółki nieposiadającej ratingu można samodzielnie obliczyć i taki rating nadać (MGW bazuje na uznanych metodologi</w:t>
      </w:r>
      <w:r w:rsidR="00487061" w:rsidRPr="000E4A73">
        <w:t>a</w:t>
      </w:r>
      <w:r w:rsidR="00992D3D" w:rsidRPr="000E4A73">
        <w:t xml:space="preserve">ch). W przypadku Spółki </w:t>
      </w:r>
      <w:r w:rsidR="00016556" w:rsidRPr="000E4A73">
        <w:t>o ratingu inwestycyjnym</w:t>
      </w:r>
      <w:r w:rsidR="00992D3D" w:rsidRPr="000E4A73">
        <w:t xml:space="preserve"> </w:t>
      </w:r>
      <w:r w:rsidR="00016556" w:rsidRPr="000E4A73">
        <w:t>wyceny można dokonywać metodą skorygowanej ceny nabycia</w:t>
      </w:r>
      <w:r w:rsidR="00487061" w:rsidRPr="000E4A73">
        <w:t xml:space="preserve">, ale </w:t>
      </w:r>
      <w:r w:rsidR="00016556" w:rsidRPr="000E4A73">
        <w:t>przy użyciu rynkowej stopy dyskontowej. Wyznaczana jest ona między innymi przez</w:t>
      </w:r>
      <w:r w:rsidR="001F16FA" w:rsidRPr="000E4A73">
        <w:t xml:space="preserve"> uwzględnieni</w:t>
      </w:r>
      <w:r w:rsidR="000E4A73" w:rsidRPr="000E4A73">
        <w:t>e</w:t>
      </w:r>
      <w:r w:rsidR="001F16FA" w:rsidRPr="000E4A73">
        <w:t xml:space="preserve"> takich cech jak:</w:t>
      </w:r>
      <w:r w:rsidR="002F4C88">
        <w:t xml:space="preserve"> </w:t>
      </w:r>
      <w:proofErr w:type="spellStart"/>
      <w:r w:rsidR="00016556" w:rsidRPr="000E4A73">
        <w:t>duracj</w:t>
      </w:r>
      <w:r w:rsidR="001F16FA" w:rsidRPr="000E4A73">
        <w:t>a</w:t>
      </w:r>
      <w:proofErr w:type="spellEnd"/>
      <w:r w:rsidR="00016556" w:rsidRPr="000E4A73">
        <w:t>, istnienie zabezpieczenia, rating emitenta, rodzaj obligacji, branż</w:t>
      </w:r>
      <w:r w:rsidR="003A5E1C" w:rsidRPr="000E4A73">
        <w:t>a</w:t>
      </w:r>
      <w:r w:rsidR="00016556" w:rsidRPr="000E4A73">
        <w:t xml:space="preserve"> i położenie geograficzne emitenta.</w:t>
      </w:r>
    </w:p>
    <w:p w14:paraId="109BD34D" w14:textId="38E00B49" w:rsidR="00016556" w:rsidRPr="000E4A73" w:rsidRDefault="00016556" w:rsidP="00EC5304">
      <w:pPr>
        <w:jc w:val="both"/>
      </w:pPr>
      <w:r w:rsidRPr="000E4A73">
        <w:t>W przypadku emitenta o niskim ratingu</w:t>
      </w:r>
      <w:r w:rsidR="00992D3D" w:rsidRPr="000E4A73">
        <w:t xml:space="preserve"> (spekulacyjnym)</w:t>
      </w:r>
      <w:r w:rsidRPr="000E4A73">
        <w:t xml:space="preserve"> lub będącego w </w:t>
      </w:r>
      <w:proofErr w:type="spellStart"/>
      <w:r w:rsidRPr="000E4A73">
        <w:t>defaulcie</w:t>
      </w:r>
      <w:proofErr w:type="spellEnd"/>
      <w:r w:rsidR="00EC5304" w:rsidRPr="000E4A73">
        <w:t>,</w:t>
      </w:r>
      <w:r w:rsidRPr="000E4A73">
        <w:t xml:space="preserve"> wycena jest dokonywana modelem utraty wartości. Pod uwagę należy brać te same kryteria, co w przypadku emitentów o wysokiej wiarygodności, jednak w przypadku każdego z przepływów </w:t>
      </w:r>
      <w:r w:rsidRPr="000E4A73">
        <w:lastRenderedPageBreak/>
        <w:t xml:space="preserve">należy wziąć pod uwagę ryzyko niewypłacalności (zależne </w:t>
      </w:r>
      <w:r w:rsidR="00EC5304" w:rsidRPr="000E4A73">
        <w:t xml:space="preserve">głównie </w:t>
      </w:r>
      <w:r w:rsidRPr="000E4A73">
        <w:t>od ratingu i zabezpieczenia</w:t>
      </w:r>
      <w:r w:rsidR="000E4A73" w:rsidRPr="000E4A73">
        <w:t>,</w:t>
      </w:r>
      <w:r w:rsidR="00992D3D" w:rsidRPr="000E4A73">
        <w:t xml:space="preserve"> obliczając oczekiwaną stratę dla każdego z przepływów</w:t>
      </w:r>
      <w:r w:rsidRPr="000E4A73">
        <w:t>).</w:t>
      </w:r>
      <w:r w:rsidR="00541A4B" w:rsidRPr="000E4A73">
        <w:t xml:space="preserve"> Odnosząc się zaś do wyceny akcji możemy zastosować wycenę modelem (porównawczą), opartą o dane obserwowalne</w:t>
      </w:r>
      <w:r w:rsidR="000E4A73" w:rsidRPr="000E4A73">
        <w:t>.</w:t>
      </w:r>
    </w:p>
    <w:p w14:paraId="4505D95C" w14:textId="77777777" w:rsidR="00BA05C0" w:rsidRPr="000E4A73" w:rsidRDefault="00BA05C0"/>
    <w:p w14:paraId="0C707498" w14:textId="52EB0BF5" w:rsidR="00FD4C5E" w:rsidRPr="000E4A73" w:rsidRDefault="00BA05C0" w:rsidP="00FD56BA">
      <w:pPr>
        <w:autoSpaceDE w:val="0"/>
        <w:autoSpaceDN w:val="0"/>
        <w:adjustRightInd w:val="0"/>
        <w:jc w:val="both"/>
      </w:pPr>
      <w:r w:rsidRPr="000E4A73">
        <w:rPr>
          <w:b/>
          <w:bCs/>
        </w:rPr>
        <w:t>Na poziomie trzecim</w:t>
      </w:r>
      <w:r w:rsidRPr="000E4A73">
        <w:t xml:space="preserve"> wycenia się aktywa, dla których nie można zastosować metod z poziomu pierwszego i drugiego. W</w:t>
      </w:r>
      <w:r w:rsidR="004445FF" w:rsidRPr="000E4A73">
        <w:t>tedy w</w:t>
      </w:r>
      <w:r w:rsidRPr="000E4A73">
        <w:t xml:space="preserve">ycena powinna mieć charakter kompleksowy, na przykład poprzez stworzenie modelu zdyskontowanych przepływów </w:t>
      </w:r>
      <w:r w:rsidR="000E4A73" w:rsidRPr="000E4A73">
        <w:t>pieniężnych</w:t>
      </w:r>
      <w:r w:rsidRPr="000E4A73">
        <w:t xml:space="preserve"> uwzględniającego </w:t>
      </w:r>
      <w:r w:rsidR="00A15C74" w:rsidRPr="000E4A73">
        <w:t xml:space="preserve">prawdopodobne </w:t>
      </w:r>
      <w:r w:rsidRPr="000E4A73">
        <w:t>scenariusze</w:t>
      </w:r>
      <w:r w:rsidR="00A15C74" w:rsidRPr="000E4A73">
        <w:t xml:space="preserve"> spłaty</w:t>
      </w:r>
      <w:r w:rsidRPr="000E4A73">
        <w:t xml:space="preserve">. Należy wtedy wziąć pod uwagę czy: emitent jest wypłacalny i posiada płynność umożliwiającą obsługę długu, czy jego sytuacja rokuje poprawę, czy </w:t>
      </w:r>
      <w:r w:rsidR="00D81AC5" w:rsidRPr="000E4A73">
        <w:t xml:space="preserve">też należy zakładać egzekucję z </w:t>
      </w:r>
      <w:r w:rsidRPr="000E4A73">
        <w:t>zabezpieczeń</w:t>
      </w:r>
      <w:r w:rsidR="00D81AC5" w:rsidRPr="000E4A73">
        <w:t>.</w:t>
      </w:r>
      <w:r w:rsidRPr="000E4A73">
        <w:t xml:space="preserve"> </w:t>
      </w:r>
      <w:r w:rsidR="00FD56BA" w:rsidRPr="000E4A73">
        <w:t>Odpowiedni model również jest budowany na potrzeby wyceny akcji (np. DCF, SWAN) lub pakietów wierzytelności. Należy pamiętać, że zgodnie z rozporządzeniem, wycena dokonywana modelem powinna zawierać opisową prezentację wrażliwości wyceny wartości godziwej na zmiany nieobserwowalnych danych wejściowych.</w:t>
      </w:r>
    </w:p>
    <w:p w14:paraId="51359A59" w14:textId="77777777" w:rsidR="00EC5304" w:rsidRPr="000E4A73" w:rsidRDefault="00EC5304" w:rsidP="00EC5304">
      <w:pPr>
        <w:jc w:val="both"/>
      </w:pPr>
    </w:p>
    <w:p w14:paraId="106F2BD7" w14:textId="2252D13C" w:rsidR="00EC5304" w:rsidRPr="008A6983" w:rsidRDefault="00D45442" w:rsidP="00EC5304">
      <w:pPr>
        <w:jc w:val="both"/>
      </w:pPr>
      <w:r>
        <w:t>Z</w:t>
      </w:r>
      <w:r w:rsidR="00EC5304" w:rsidRPr="000E4A73">
        <w:t>astosowanie nowych zasad powinno przyczynić się</w:t>
      </w:r>
      <w:r w:rsidR="004A1724" w:rsidRPr="000E4A73">
        <w:t xml:space="preserve"> do</w:t>
      </w:r>
      <w:r w:rsidR="00EC5304" w:rsidRPr="000E4A73">
        <w:t xml:space="preserve"> </w:t>
      </w:r>
      <w:r w:rsidR="0043369F" w:rsidRPr="000E4A73">
        <w:t xml:space="preserve">precyzyjniejszej wyceny aktywów funduszy inwestycyjnych, </w:t>
      </w:r>
      <w:r w:rsidR="00EC5304" w:rsidRPr="000E4A73">
        <w:t xml:space="preserve">szczególnie </w:t>
      </w:r>
      <w:r w:rsidR="0043369F" w:rsidRPr="000E4A73">
        <w:t xml:space="preserve">inwestujących w </w:t>
      </w:r>
      <w:r w:rsidR="00EC5304" w:rsidRPr="000E4A73">
        <w:t>obligacj</w:t>
      </w:r>
      <w:r w:rsidR="0043369F" w:rsidRPr="000E4A73">
        <w:t>e</w:t>
      </w:r>
      <w:r w:rsidR="00EC5304" w:rsidRPr="000E4A73">
        <w:t xml:space="preserve"> korporacyjn</w:t>
      </w:r>
      <w:r w:rsidR="0043369F" w:rsidRPr="000E4A73">
        <w:t>e</w:t>
      </w:r>
      <w:r w:rsidR="00EC5304" w:rsidRPr="000E4A73">
        <w:t>.</w:t>
      </w:r>
      <w:r w:rsidR="002F4C88">
        <w:t xml:space="preserve"> </w:t>
      </w:r>
      <w:r w:rsidR="000D2EA8" w:rsidRPr="000E4A73">
        <w:t xml:space="preserve">W ramach analiz prowadzonych </w:t>
      </w:r>
      <w:r w:rsidR="004A1724" w:rsidRPr="000E4A73">
        <w:t xml:space="preserve">na spółkach giełdowych </w:t>
      </w:r>
      <w:r w:rsidR="000D2EA8" w:rsidRPr="000E4A73">
        <w:t xml:space="preserve">przez </w:t>
      </w:r>
      <w:r w:rsidR="00F5265C" w:rsidRPr="000E4A73">
        <w:t xml:space="preserve">MGW </w:t>
      </w:r>
      <w:r w:rsidR="00CB4DC5" w:rsidRPr="000E4A73">
        <w:t xml:space="preserve">zaobserwowano, że potencjalne problemy ze spłatą obligacji mogą być widoczne w wycenach na </w:t>
      </w:r>
      <w:r w:rsidR="00CA4B15" w:rsidRPr="000E4A73">
        <w:t xml:space="preserve">długo </w:t>
      </w:r>
      <w:r w:rsidR="00CB4DC5" w:rsidRPr="000E4A73">
        <w:t xml:space="preserve">przed faktycznym </w:t>
      </w:r>
      <w:proofErr w:type="spellStart"/>
      <w:r w:rsidR="00CB4DC5" w:rsidRPr="000E4A73">
        <w:t>def</w:t>
      </w:r>
      <w:r w:rsidR="00D42041" w:rsidRPr="000E4A73">
        <w:t>a</w:t>
      </w:r>
      <w:r w:rsidR="00CB4DC5" w:rsidRPr="000E4A73">
        <w:t>ultem</w:t>
      </w:r>
      <w:proofErr w:type="spellEnd"/>
      <w:r w:rsidR="00CB4DC5" w:rsidRPr="000E4A73">
        <w:t xml:space="preserve"> obligacji. </w:t>
      </w:r>
      <w:r w:rsidR="00CA4B15" w:rsidRPr="000E4A73">
        <w:t>Biorąc to pod uwagę kluczem do właściwiej wyceny aktywów funduszy jest posiadanie doświadczonego zespołu analityków lub współpraca z wyspecjalizowanym w obsłudze funduszy inwestycyjnych</w:t>
      </w:r>
      <w:r w:rsidR="002F4C88">
        <w:t xml:space="preserve"> </w:t>
      </w:r>
      <w:r w:rsidR="00CA4B15" w:rsidRPr="000E4A73">
        <w:t xml:space="preserve">podmiotem wyceniającym jak np. MGW </w:t>
      </w:r>
      <w:proofErr w:type="spellStart"/>
      <w:r w:rsidR="00CA4B15" w:rsidRPr="000E4A73">
        <w:t>Corporate</w:t>
      </w:r>
      <w:proofErr w:type="spellEnd"/>
      <w:r w:rsidR="00CA4B15" w:rsidRPr="000E4A73">
        <w:t xml:space="preserve"> Consulting </w:t>
      </w:r>
      <w:proofErr w:type="spellStart"/>
      <w:r w:rsidR="00CA4B15" w:rsidRPr="000E4A73">
        <w:t>Group</w:t>
      </w:r>
      <w:proofErr w:type="spellEnd"/>
      <w:r w:rsidR="00CA4B15" w:rsidRPr="000E4A73">
        <w:t>.</w:t>
      </w:r>
    </w:p>
    <w:sectPr w:rsidR="00EC5304" w:rsidRPr="008A6983" w:rsidSect="00445C3E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93EA" w14:textId="77777777" w:rsidR="00C12F79" w:rsidRDefault="00C12F79" w:rsidP="003E6645">
      <w:r>
        <w:separator/>
      </w:r>
    </w:p>
  </w:endnote>
  <w:endnote w:type="continuationSeparator" w:id="0">
    <w:p w14:paraId="41CA93CD" w14:textId="77777777" w:rsidR="00C12F79" w:rsidRDefault="00C12F79" w:rsidP="003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37063703"/>
      <w:docPartObj>
        <w:docPartGallery w:val="Page Numbers (Bottom of Page)"/>
        <w:docPartUnique/>
      </w:docPartObj>
    </w:sdtPr>
    <w:sdtEndPr/>
    <w:sdtContent>
      <w:p w14:paraId="2043A023" w14:textId="3DEB85E5" w:rsidR="003E6645" w:rsidRDefault="003E66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704DD09" w14:textId="77777777" w:rsidR="003E6645" w:rsidRDefault="003E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FAEB" w14:textId="77777777" w:rsidR="00C12F79" w:rsidRDefault="00C12F79" w:rsidP="003E6645">
      <w:r>
        <w:separator/>
      </w:r>
    </w:p>
  </w:footnote>
  <w:footnote w:type="continuationSeparator" w:id="0">
    <w:p w14:paraId="3B30921F" w14:textId="77777777" w:rsidR="00C12F79" w:rsidRDefault="00C12F79" w:rsidP="003E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17C4"/>
    <w:multiLevelType w:val="hybridMultilevel"/>
    <w:tmpl w:val="F2041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C0"/>
    <w:rsid w:val="00016556"/>
    <w:rsid w:val="00020DD8"/>
    <w:rsid w:val="000C7CA8"/>
    <w:rsid w:val="000D2EA8"/>
    <w:rsid w:val="000E4A73"/>
    <w:rsid w:val="001F16FA"/>
    <w:rsid w:val="00241B3B"/>
    <w:rsid w:val="0024710A"/>
    <w:rsid w:val="002F059C"/>
    <w:rsid w:val="002F4C88"/>
    <w:rsid w:val="00365304"/>
    <w:rsid w:val="003A5E1C"/>
    <w:rsid w:val="003C129A"/>
    <w:rsid w:val="003E6645"/>
    <w:rsid w:val="00400C66"/>
    <w:rsid w:val="0043369F"/>
    <w:rsid w:val="004445FF"/>
    <w:rsid w:val="00445C3E"/>
    <w:rsid w:val="00446DCA"/>
    <w:rsid w:val="0047316C"/>
    <w:rsid w:val="00474B0F"/>
    <w:rsid w:val="004865D0"/>
    <w:rsid w:val="00487061"/>
    <w:rsid w:val="004A1724"/>
    <w:rsid w:val="0050119D"/>
    <w:rsid w:val="00503DF2"/>
    <w:rsid w:val="0051626C"/>
    <w:rsid w:val="00541A4B"/>
    <w:rsid w:val="005A1F25"/>
    <w:rsid w:val="006455CD"/>
    <w:rsid w:val="0079465C"/>
    <w:rsid w:val="007A0AC1"/>
    <w:rsid w:val="007C24FC"/>
    <w:rsid w:val="00827ABB"/>
    <w:rsid w:val="00830B6D"/>
    <w:rsid w:val="00857F74"/>
    <w:rsid w:val="008951EB"/>
    <w:rsid w:val="008A6983"/>
    <w:rsid w:val="008F2F58"/>
    <w:rsid w:val="008F45C9"/>
    <w:rsid w:val="008F46C8"/>
    <w:rsid w:val="00992D3D"/>
    <w:rsid w:val="0099734C"/>
    <w:rsid w:val="009B0C58"/>
    <w:rsid w:val="009E3821"/>
    <w:rsid w:val="009F5726"/>
    <w:rsid w:val="00A109E4"/>
    <w:rsid w:val="00A15C74"/>
    <w:rsid w:val="00A430AB"/>
    <w:rsid w:val="00A865DE"/>
    <w:rsid w:val="00B05F87"/>
    <w:rsid w:val="00B81576"/>
    <w:rsid w:val="00BA05C0"/>
    <w:rsid w:val="00C0077C"/>
    <w:rsid w:val="00C12F79"/>
    <w:rsid w:val="00C311C8"/>
    <w:rsid w:val="00C63C3B"/>
    <w:rsid w:val="00CA4B15"/>
    <w:rsid w:val="00CB4DC5"/>
    <w:rsid w:val="00D0707E"/>
    <w:rsid w:val="00D42041"/>
    <w:rsid w:val="00D45442"/>
    <w:rsid w:val="00D466C0"/>
    <w:rsid w:val="00D81AC5"/>
    <w:rsid w:val="00DC017F"/>
    <w:rsid w:val="00DC7F00"/>
    <w:rsid w:val="00E54E5E"/>
    <w:rsid w:val="00EC5304"/>
    <w:rsid w:val="00ED2E1F"/>
    <w:rsid w:val="00EE5620"/>
    <w:rsid w:val="00F5265C"/>
    <w:rsid w:val="00F70AB7"/>
    <w:rsid w:val="00F92A5F"/>
    <w:rsid w:val="00FD4C5E"/>
    <w:rsid w:val="00FD56B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3951"/>
  <w14:defaultImageDpi w14:val="32767"/>
  <w15:chartTrackingRefBased/>
  <w15:docId w15:val="{2052C8F1-3BCF-394E-8372-CAAFDE9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6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45"/>
  </w:style>
  <w:style w:type="paragraph" w:styleId="Stopka">
    <w:name w:val="footer"/>
    <w:basedOn w:val="Normalny"/>
    <w:link w:val="StopkaZnak"/>
    <w:uiPriority w:val="99"/>
    <w:unhideWhenUsed/>
    <w:rsid w:val="003E6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3</cp:revision>
  <cp:lastPrinted>2021-01-19T07:44:00Z</cp:lastPrinted>
  <dcterms:created xsi:type="dcterms:W3CDTF">2021-01-19T08:01:00Z</dcterms:created>
  <dcterms:modified xsi:type="dcterms:W3CDTF">2021-01-19T08:02:00Z</dcterms:modified>
</cp:coreProperties>
</file>